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50F3" w14:textId="77777777" w:rsidR="00B224E9" w:rsidRDefault="00B224E9" w:rsidP="00B224E9">
      <w:pPr>
        <w:spacing w:line="252" w:lineRule="auto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Kritéria pro sestavování pořadníku žadatelů</w:t>
      </w:r>
    </w:p>
    <w:p w14:paraId="7DA653AA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</w:p>
    <w:p w14:paraId="70E49558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  <w:iCs/>
          <w:color w:val="070707"/>
          <w:shd w:val="clear" w:color="auto" w:fill="FFFFFF"/>
        </w:rPr>
      </w:pPr>
      <w:r>
        <w:rPr>
          <w:rFonts w:ascii="Helvetica" w:hAnsi="Helvetica" w:cs="Helvetica"/>
        </w:rPr>
        <w:t xml:space="preserve">G-centrum Tábor, Domov pro seniory se zvláštním režimem, poskytuje sociální službu v souladu se zákonem č. 108/2006 Sb., o sociálních službách, vyhláškou č. 505/2006 Sb., </w:t>
      </w:r>
      <w:r>
        <w:rPr>
          <w:rFonts w:ascii="Helvetica" w:hAnsi="Helvetica" w:cs="Helvetica"/>
          <w:iCs/>
          <w:color w:val="070707"/>
          <w:shd w:val="clear" w:color="auto" w:fill="FFFFFF"/>
        </w:rPr>
        <w:t>kterou se provádějí některá ustanovení zákona o sociálních službách a zřizovací listinou schválenou městem Tábor.</w:t>
      </w:r>
    </w:p>
    <w:p w14:paraId="0C424317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iCs/>
          <w:color w:val="070707"/>
          <w:shd w:val="clear" w:color="auto" w:fill="FFFFFF"/>
        </w:rPr>
        <w:t xml:space="preserve">V případě plné kapacity jsou žádosti řazeny dle níže uvedených kritérií </w:t>
      </w:r>
      <w:r>
        <w:rPr>
          <w:rFonts w:ascii="Helvetica" w:hAnsi="Helvetica" w:cs="Helvetica"/>
          <w:iCs/>
          <w:color w:val="070707"/>
          <w:shd w:val="clear" w:color="auto" w:fill="FFFFFF"/>
        </w:rPr>
        <w:br/>
        <w:t>a podle sociální situace zjištěné v rámci sociálního šetření.</w:t>
      </w:r>
    </w:p>
    <w:p w14:paraId="65146F0B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</w:p>
    <w:p w14:paraId="5BF4E0D8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Sociální situace žadatele</w:t>
      </w:r>
    </w:p>
    <w:p w14:paraId="5C62B53B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Žadatel žije osamoceně, nemá žádné blízké příbuzné, nepostačuje zajištění základní péče dostupnými sociálními službami v domácím prostředí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5 bodů</w:t>
      </w:r>
    </w:p>
    <w:p w14:paraId="51CF6E73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  <w:b/>
        </w:rPr>
      </w:pPr>
    </w:p>
    <w:p w14:paraId="1DCD1FB3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Žadatel nemá zajištěnou základní péči dostupnými sociálními službami nebo pečujícími osobami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3 body</w:t>
      </w:r>
    </w:p>
    <w:p w14:paraId="6145DB69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4FFF2CA0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Zdravotní stav žadatele podle potřebnosti péče</w:t>
      </w:r>
    </w:p>
    <w:p w14:paraId="0B5FDC08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Potřebnost péče odpovídající IV. stupni </w:t>
      </w:r>
      <w:proofErr w:type="spellStart"/>
      <w:r>
        <w:rPr>
          <w:rFonts w:ascii="Helvetica" w:hAnsi="Helvetica" w:cs="Helvetica"/>
        </w:rPr>
        <w:t>PnP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4 body</w:t>
      </w:r>
    </w:p>
    <w:p w14:paraId="7788D394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Potřebnost péče odpovídající III. stupni </w:t>
      </w:r>
      <w:proofErr w:type="spellStart"/>
      <w:r>
        <w:rPr>
          <w:rFonts w:ascii="Helvetica" w:hAnsi="Helvetica" w:cs="Helvetica"/>
        </w:rPr>
        <w:t>PnP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3 body</w:t>
      </w:r>
    </w:p>
    <w:p w14:paraId="5729C934" w14:textId="77777777" w:rsidR="00B224E9" w:rsidRDefault="00B224E9" w:rsidP="00B224E9">
      <w:pPr>
        <w:spacing w:line="252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Potřebnost péče odpovídající II. stupni </w:t>
      </w:r>
      <w:proofErr w:type="spellStart"/>
      <w:r>
        <w:rPr>
          <w:rFonts w:ascii="Helvetica" w:hAnsi="Helvetica" w:cs="Helvetica"/>
        </w:rPr>
        <w:t>PnP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2 body</w:t>
      </w:r>
    </w:p>
    <w:p w14:paraId="7918B437" w14:textId="77777777" w:rsidR="00B224E9" w:rsidRDefault="00B224E9" w:rsidP="00B224E9">
      <w:pPr>
        <w:spacing w:line="252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Potřebnost péče odpovídající I. stupni </w:t>
      </w:r>
      <w:proofErr w:type="spellStart"/>
      <w:r>
        <w:rPr>
          <w:rFonts w:ascii="Helvetica" w:hAnsi="Helvetica" w:cs="Helvetica"/>
        </w:rPr>
        <w:t>PnP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1 bod</w:t>
      </w:r>
    </w:p>
    <w:p w14:paraId="43C6AA80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3787C88B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Posuzuje se aktuální situace žadatele na základě přiznaného příspěvku na péči nebo podle vyjádření lékaře nebo sociálního šetření.</w:t>
      </w:r>
    </w:p>
    <w:p w14:paraId="6F254061" w14:textId="77777777" w:rsidR="00B224E9" w:rsidRDefault="00B224E9" w:rsidP="00B224E9">
      <w:pPr>
        <w:spacing w:line="252" w:lineRule="auto"/>
        <w:rPr>
          <w:rFonts w:ascii="Helvetica" w:hAnsi="Helvetica" w:cs="Helvetica"/>
        </w:rPr>
      </w:pPr>
    </w:p>
    <w:p w14:paraId="0323B8D0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Místo trvalého bydliště</w:t>
      </w:r>
    </w:p>
    <w:p w14:paraId="0C75A283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Tábor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b/>
        </w:rPr>
        <w:t>3 body</w:t>
      </w:r>
    </w:p>
    <w:p w14:paraId="17E82FBF" w14:textId="77777777" w:rsidR="00B224E9" w:rsidRDefault="00B224E9" w:rsidP="00B224E9">
      <w:pPr>
        <w:spacing w:line="252" w:lineRule="auto"/>
        <w:rPr>
          <w:rFonts w:ascii="Helvetica" w:hAnsi="Helvetica" w:cs="Helvetica"/>
        </w:rPr>
      </w:pPr>
    </w:p>
    <w:p w14:paraId="417C66AD" w14:textId="77777777" w:rsidR="00B224E9" w:rsidRDefault="00B224E9" w:rsidP="00B224E9">
      <w:pPr>
        <w:spacing w:line="252" w:lineRule="auto"/>
        <w:rPr>
          <w:rFonts w:ascii="Helvetica" w:hAnsi="Helvetica" w:cs="Helvetica"/>
        </w:rPr>
      </w:pPr>
    </w:p>
    <w:p w14:paraId="5C7BE38F" w14:textId="77777777" w:rsidR="00B224E9" w:rsidRDefault="00B224E9" w:rsidP="00B224E9">
      <w:pPr>
        <w:spacing w:line="252" w:lineRule="auto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Odmítnutí zahájení sociální služby</w:t>
      </w:r>
    </w:p>
    <w:p w14:paraId="17D5CBE7" w14:textId="77777777" w:rsidR="00B224E9" w:rsidRDefault="00B224E9" w:rsidP="00B224E9">
      <w:pPr>
        <w:spacing w:line="252" w:lineRule="auto"/>
        <w:rPr>
          <w:rFonts w:ascii="Helvetica" w:hAnsi="Helvetica" w:cs="Helvetica"/>
          <w:b/>
        </w:rPr>
      </w:pPr>
    </w:p>
    <w:p w14:paraId="7FFC266B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Pokud žadatel odmítne zahájit sociální službu, je žádost o poskytování sociální služby vyřazena. V případě opětovného zájmu, musí žadatel podat novou žádost.</w:t>
      </w:r>
    </w:p>
    <w:p w14:paraId="075ADE58" w14:textId="77777777" w:rsidR="00B224E9" w:rsidRDefault="00B224E9" w:rsidP="00B224E9">
      <w:pPr>
        <w:spacing w:line="252" w:lineRule="auto"/>
        <w:rPr>
          <w:rFonts w:ascii="Helvetica" w:hAnsi="Helvetica" w:cs="Helvetica"/>
        </w:rPr>
      </w:pPr>
    </w:p>
    <w:p w14:paraId="44109908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Ke každé žádosti se přistupuje individuálně dle stávající sociální situace žadatele. </w:t>
      </w:r>
      <w:r>
        <w:rPr>
          <w:rFonts w:ascii="Helvetica" w:hAnsi="Helvetica" w:cs="Helvetica"/>
        </w:rPr>
        <w:br/>
        <w:t>Ve výjimečných případech rozhoduje o mimořádném pořadí žadatelů ředitel organizace.</w:t>
      </w:r>
    </w:p>
    <w:p w14:paraId="4BCB9130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5B8DAAA3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64D82500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53105F85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362D4816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02333482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017221C4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12861B13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3DC95B39" w14:textId="77777777" w:rsidR="00B224E9" w:rsidRDefault="00B224E9" w:rsidP="00B224E9">
      <w:pPr>
        <w:spacing w:line="252" w:lineRule="auto"/>
        <w:jc w:val="both"/>
        <w:rPr>
          <w:rFonts w:ascii="Helvetica" w:hAnsi="Helvetica" w:cs="Helvetica"/>
        </w:rPr>
      </w:pPr>
    </w:p>
    <w:p w14:paraId="697D5655" w14:textId="77777777" w:rsidR="00DB2310" w:rsidRDefault="00DB2310"/>
    <w:sectPr w:rsidR="00DB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9"/>
    <w:rsid w:val="00B224E9"/>
    <w:rsid w:val="00D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7875"/>
  <w15:chartTrackingRefBased/>
  <w15:docId w15:val="{1F43CC7A-9A5E-4145-80E0-E0B04ED1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4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 / G - centrum Tábor</dc:creator>
  <cp:keywords/>
  <dc:description/>
  <cp:lastModifiedBy>Lucie Smrčinová / G - centrum Tábor</cp:lastModifiedBy>
  <cp:revision>1</cp:revision>
  <dcterms:created xsi:type="dcterms:W3CDTF">2024-03-20T13:56:00Z</dcterms:created>
  <dcterms:modified xsi:type="dcterms:W3CDTF">2024-03-20T13:56:00Z</dcterms:modified>
</cp:coreProperties>
</file>